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58" w:rsidRPr="00347DC3" w:rsidRDefault="00161D58" w:rsidP="00161D58">
      <w:pPr>
        <w:pStyle w:val="Heading1"/>
        <w:rPr>
          <w:lang w:val="en-US"/>
        </w:rPr>
      </w:pPr>
      <w:bookmarkStart w:id="0" w:name="_Toc13819789"/>
      <w:bookmarkStart w:id="1" w:name="_Toc13823191"/>
      <w:bookmarkStart w:id="2" w:name="_Toc14963752"/>
      <w:bookmarkStart w:id="3" w:name="_Toc14966150"/>
      <w:bookmarkStart w:id="4" w:name="_Toc14966199"/>
      <w:bookmarkStart w:id="5" w:name="_Toc15075289"/>
      <w:bookmarkStart w:id="6" w:name="_Toc16779902"/>
      <w:bookmarkStart w:id="7" w:name="_Toc16780304"/>
      <w:r w:rsidRPr="00347DC3">
        <w:rPr>
          <w:lang w:val="en-US"/>
        </w:rPr>
        <w:t>Public Notice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161D58" w:rsidRPr="00347DC3" w:rsidRDefault="00553937" w:rsidP="00161D58">
      <w:pPr>
        <w:pStyle w:val="Heading1"/>
        <w:rPr>
          <w:lang w:val="en-US"/>
        </w:rPr>
      </w:pPr>
      <w:bookmarkStart w:id="8" w:name="_Toc13819790"/>
      <w:bookmarkStart w:id="9" w:name="_Toc13823192"/>
      <w:bookmarkStart w:id="10" w:name="_Toc14963753"/>
      <w:bookmarkStart w:id="11" w:name="_Toc14966151"/>
      <w:bookmarkStart w:id="12" w:name="_Toc14966200"/>
      <w:bookmarkStart w:id="13" w:name="_Toc15075290"/>
      <w:bookmarkStart w:id="14" w:name="_Toc16779903"/>
      <w:bookmarkStart w:id="15" w:name="_Toc16780305"/>
      <w:r w:rsidRPr="00553937">
        <w:rPr>
          <w:lang w:val="en-US"/>
        </w:rPr>
        <w:t xml:space="preserve">Portage I&amp;II - Update Fuel Tank System to Legislation </w:t>
      </w:r>
      <w:r w:rsidR="00161D58" w:rsidRPr="00347DC3">
        <w:rPr>
          <w:lang w:val="en-US"/>
        </w:rPr>
        <w:t>– Public Comments Invited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161D58" w:rsidRPr="00347DC3" w:rsidRDefault="00553937" w:rsidP="00161D58">
      <w:pPr>
        <w:rPr>
          <w:lang w:val="en-US"/>
        </w:rPr>
      </w:pPr>
      <w:r>
        <w:rPr>
          <w:b/>
          <w:lang w:val="en-US"/>
        </w:rPr>
        <w:t>May 25, 2021</w:t>
      </w:r>
      <w:r w:rsidR="00161D58" w:rsidRPr="00347DC3">
        <w:rPr>
          <w:b/>
          <w:lang w:val="en-US"/>
        </w:rPr>
        <w:t xml:space="preserve"> – </w:t>
      </w:r>
      <w:r w:rsidR="007429ED">
        <w:rPr>
          <w:lang w:val="en-US"/>
        </w:rPr>
        <w:t xml:space="preserve">Public Services and Procurement Canada </w:t>
      </w:r>
      <w:r w:rsidR="00161D58" w:rsidRPr="00347DC3">
        <w:rPr>
          <w:lang w:val="en-US"/>
        </w:rPr>
        <w:t>must de</w:t>
      </w:r>
      <w:r w:rsidR="00161D58">
        <w:rPr>
          <w:lang w:val="en-US"/>
        </w:rPr>
        <w:t>termine</w:t>
      </w:r>
      <w:r w:rsidR="00161D58" w:rsidRPr="00347DC3">
        <w:rPr>
          <w:lang w:val="en-US"/>
        </w:rPr>
        <w:t xml:space="preserve"> whether the proposed</w:t>
      </w:r>
      <w:r>
        <w:rPr>
          <w:lang w:val="en-US"/>
        </w:rPr>
        <w:t xml:space="preserve"> </w:t>
      </w:r>
      <w:r w:rsidRPr="00553937">
        <w:rPr>
          <w:lang w:val="en-US"/>
        </w:rPr>
        <w:t xml:space="preserve">Portage I&amp;II - Update Fuel Tank System to Legislation </w:t>
      </w:r>
      <w:r w:rsidR="00161D58" w:rsidRPr="00347DC3">
        <w:rPr>
          <w:lang w:val="en-US"/>
        </w:rPr>
        <w:t xml:space="preserve">located </w:t>
      </w:r>
      <w:r>
        <w:rPr>
          <w:lang w:val="en-US"/>
        </w:rPr>
        <w:t>Gatineau, QC</w:t>
      </w:r>
      <w:r w:rsidR="00161D58" w:rsidRPr="00347DC3">
        <w:rPr>
          <w:lang w:val="en-US"/>
        </w:rPr>
        <w:t xml:space="preserve"> is likely to cause significant adverse environmental effects.</w:t>
      </w:r>
    </w:p>
    <w:p w:rsidR="00161D58" w:rsidRPr="00347DC3" w:rsidRDefault="00161D58" w:rsidP="00161D58">
      <w:pPr>
        <w:rPr>
          <w:lang w:val="en-US"/>
        </w:rPr>
      </w:pPr>
      <w:r w:rsidRPr="00347DC3">
        <w:rPr>
          <w:lang w:val="en-US"/>
        </w:rPr>
        <w:t>To help inform this de</w:t>
      </w:r>
      <w:r>
        <w:rPr>
          <w:lang w:val="en-US"/>
        </w:rPr>
        <w:t>termination</w:t>
      </w:r>
      <w:r w:rsidRPr="00347DC3">
        <w:rPr>
          <w:lang w:val="en-US"/>
        </w:rPr>
        <w:t xml:space="preserve">, </w:t>
      </w:r>
      <w:r w:rsidR="007429ED">
        <w:rPr>
          <w:lang w:val="en-US"/>
        </w:rPr>
        <w:t>PSPC</w:t>
      </w:r>
      <w:r w:rsidRPr="00347DC3">
        <w:rPr>
          <w:lang w:val="en-US"/>
        </w:rPr>
        <w:t xml:space="preserve"> is </w:t>
      </w:r>
      <w:r>
        <w:rPr>
          <w:lang w:val="en-US"/>
        </w:rPr>
        <w:t>inviting</w:t>
      </w:r>
      <w:r w:rsidRPr="00347DC3">
        <w:rPr>
          <w:lang w:val="en-US"/>
        </w:rPr>
        <w:t xml:space="preserve"> comments from the public </w:t>
      </w:r>
      <w:r w:rsidRPr="000B3D63">
        <w:t>respecting that determination</w:t>
      </w:r>
      <w:r w:rsidR="007429ED">
        <w:rPr>
          <w:rFonts w:ascii="Georgia" w:hAnsi="Georgia" w:cs="Georgia"/>
        </w:rPr>
        <w:t>.</w:t>
      </w:r>
      <w:r w:rsidRPr="00347DC3">
        <w:rPr>
          <w:lang w:val="en-US"/>
        </w:rPr>
        <w:t xml:space="preserve"> All comments received will be considered public</w:t>
      </w:r>
      <w:r w:rsidR="007429ED">
        <w:rPr>
          <w:lang w:val="en-US"/>
        </w:rPr>
        <w:t xml:space="preserve"> and may be posted online</w:t>
      </w:r>
      <w:r w:rsidRPr="00347DC3">
        <w:rPr>
          <w:lang w:val="en-US"/>
        </w:rPr>
        <w:t xml:space="preserve">. </w:t>
      </w:r>
      <w:r>
        <w:rPr>
          <w:lang w:val="en-US"/>
        </w:rPr>
        <w:t xml:space="preserve">For more information, individuals should consult the </w:t>
      </w:r>
      <w:hyperlink r:id="rId5" w:history="1">
        <w:r w:rsidRPr="007429ED">
          <w:rPr>
            <w:rStyle w:val="Hyperlink"/>
            <w:lang w:val="en-US"/>
          </w:rPr>
          <w:t>Privacy Notice on the Registry website</w:t>
        </w:r>
      </w:hyperlink>
      <w:r>
        <w:rPr>
          <w:lang w:val="en-US"/>
        </w:rPr>
        <w:t>.</w:t>
      </w:r>
    </w:p>
    <w:p w:rsidR="00161D58" w:rsidRPr="00347DC3" w:rsidRDefault="00161D58" w:rsidP="00161D58">
      <w:pPr>
        <w:rPr>
          <w:lang w:val="en-US"/>
        </w:rPr>
      </w:pPr>
      <w:r w:rsidRPr="00347DC3">
        <w:rPr>
          <w:lang w:val="en-US"/>
        </w:rPr>
        <w:t xml:space="preserve">Written comments must be submitted </w:t>
      </w:r>
      <w:r w:rsidRPr="00347DC3">
        <w:rPr>
          <w:b/>
          <w:lang w:val="en-US"/>
        </w:rPr>
        <w:t xml:space="preserve">by </w:t>
      </w:r>
      <w:r w:rsidR="00553937">
        <w:rPr>
          <w:b/>
          <w:lang w:val="en-US"/>
        </w:rPr>
        <w:t>June 24, 2021</w:t>
      </w:r>
      <w:r w:rsidRPr="00347DC3">
        <w:rPr>
          <w:b/>
          <w:lang w:val="en-US"/>
        </w:rPr>
        <w:t xml:space="preserve"> </w:t>
      </w:r>
      <w:r w:rsidRPr="00347DC3">
        <w:rPr>
          <w:lang w:val="en-US"/>
        </w:rPr>
        <w:t>to:</w:t>
      </w:r>
    </w:p>
    <w:p w:rsidR="00161D58" w:rsidRPr="00347DC3" w:rsidRDefault="007429ED" w:rsidP="00161D58">
      <w:pPr>
        <w:rPr>
          <w:lang w:val="en-US"/>
        </w:rPr>
      </w:pPr>
      <w:r>
        <w:rPr>
          <w:lang w:val="en-US"/>
        </w:rPr>
        <w:t>Environment, Health and Safety</w:t>
      </w:r>
      <w:r w:rsidR="00161D58">
        <w:rPr>
          <w:lang w:val="en-US"/>
        </w:rPr>
        <w:br/>
      </w:r>
      <w:r>
        <w:rPr>
          <w:lang w:val="en-US"/>
        </w:rPr>
        <w:t>2720 Riverside Drive, Ottawa, Ontario</w:t>
      </w:r>
      <w:r w:rsidR="00161D58">
        <w:rPr>
          <w:lang w:val="en-US"/>
        </w:rPr>
        <w:br/>
      </w:r>
      <w:hyperlink r:id="rId6" w:history="1">
        <w:r w:rsidRPr="002B5F77">
          <w:rPr>
            <w:rStyle w:val="Hyperlink"/>
            <w:lang w:val="en-US"/>
          </w:rPr>
          <w:t>TPSGC.RCNLVEEListedeControle-NCRECMPChecklist.PWGSC@tpsgc-pwgsc.gc.ca</w:t>
        </w:r>
      </w:hyperlink>
      <w:r>
        <w:rPr>
          <w:lang w:val="en-US"/>
        </w:rPr>
        <w:t xml:space="preserve"> </w:t>
      </w:r>
    </w:p>
    <w:p w:rsidR="00161D58" w:rsidRPr="00347DC3" w:rsidRDefault="00161D58" w:rsidP="00161D58">
      <w:pPr>
        <w:pStyle w:val="Heading2"/>
        <w:numPr>
          <w:ilvl w:val="0"/>
          <w:numId w:val="0"/>
        </w:numPr>
        <w:rPr>
          <w:lang w:val="en-US"/>
        </w:rPr>
      </w:pPr>
      <w:bookmarkStart w:id="16" w:name="_Toc13819791"/>
      <w:bookmarkStart w:id="17" w:name="_Toc13823193"/>
      <w:bookmarkStart w:id="18" w:name="_Toc14963754"/>
      <w:bookmarkStart w:id="19" w:name="_Toc14966152"/>
      <w:bookmarkStart w:id="20" w:name="_Toc14966202"/>
      <w:bookmarkStart w:id="21" w:name="_Toc15075291"/>
      <w:bookmarkStart w:id="22" w:name="_Toc16779904"/>
      <w:bookmarkStart w:id="23" w:name="_Toc16780306"/>
      <w:r w:rsidRPr="00347DC3">
        <w:rPr>
          <w:lang w:val="en-US"/>
        </w:rPr>
        <w:t>The Proposed Project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553937" w:rsidRPr="00553937" w:rsidRDefault="00553937" w:rsidP="00553937">
      <w:pPr>
        <w:rPr>
          <w:lang w:val="en-US"/>
        </w:rPr>
      </w:pPr>
      <w:r w:rsidRPr="00553937">
        <w:rPr>
          <w:lang w:val="en-US"/>
        </w:rPr>
        <w:t>Correction of deficiencies detected in the technical report of a specialist consultant. These deficiencies are in relation to the CSA B139 code and SOR 2008-197 regulations and concern the oil tank system registered with Environment Canada under number EC-00003592 and which has a total capacity greater than 5000L. The consultant will ensure that the corrections are made so that the system becomes compliant with the codes CSA B139-2009 and CSA B139-2019, CSA-C282-15, CCME 2003, construction code and safety cod</w:t>
      </w:r>
      <w:r>
        <w:rPr>
          <w:lang w:val="en-US"/>
        </w:rPr>
        <w:t>e and SOR regulations 2008-197.</w:t>
      </w:r>
      <w:bookmarkStart w:id="24" w:name="_GoBack"/>
      <w:bookmarkEnd w:id="24"/>
    </w:p>
    <w:p w:rsidR="00553937" w:rsidRPr="00553937" w:rsidRDefault="00553937" w:rsidP="00553937">
      <w:pPr>
        <w:rPr>
          <w:lang w:val="en-US"/>
        </w:rPr>
      </w:pPr>
      <w:r w:rsidRPr="00553937">
        <w:rPr>
          <w:lang w:val="en-US"/>
        </w:rPr>
        <w:t>Examples of corrective measures to be made: repair fittings, replace the containment box, install a visual and audible alarm, add / replace missing valves, hoses and supports, install the devices required to release the pressure on the pumping assembly, install tight containment.</w:t>
      </w:r>
    </w:p>
    <w:p w:rsidR="0003011E" w:rsidRPr="00553937" w:rsidRDefault="00B44EEA">
      <w:pPr>
        <w:rPr>
          <w:lang w:val="en-US"/>
        </w:rPr>
      </w:pPr>
    </w:p>
    <w:sectPr w:rsidR="0003011E" w:rsidRPr="005539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4140F"/>
    <w:multiLevelType w:val="multilevel"/>
    <w:tmpl w:val="89029044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58"/>
    <w:rsid w:val="00161D58"/>
    <w:rsid w:val="00371E43"/>
    <w:rsid w:val="00553937"/>
    <w:rsid w:val="007429ED"/>
    <w:rsid w:val="00A01955"/>
    <w:rsid w:val="00B4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CEEB8-87B3-46A1-B284-1C804C93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1D58"/>
    <w:pPr>
      <w:spacing w:after="20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161D58"/>
    <w:pPr>
      <w:keepNext/>
      <w:keepLines/>
      <w:spacing w:after="0"/>
      <w:outlineLvl w:val="0"/>
    </w:pPr>
    <w:rPr>
      <w:rFonts w:eastAsiaTheme="majorEastAsia"/>
      <w:b/>
      <w:bCs/>
      <w:color w:val="196D9B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161D58"/>
    <w:pPr>
      <w:keepNext/>
      <w:keepLines/>
      <w:numPr>
        <w:numId w:val="1"/>
      </w:numPr>
      <w:spacing w:before="200" w:after="0"/>
      <w:outlineLvl w:val="1"/>
    </w:pPr>
    <w:rPr>
      <w:rFonts w:eastAsiaTheme="majorEastAsia"/>
      <w:b/>
      <w:bCs/>
      <w:color w:val="2089C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D58"/>
    <w:rPr>
      <w:rFonts w:ascii="Arial" w:eastAsiaTheme="majorEastAsia" w:hAnsi="Arial" w:cs="Arial"/>
      <w:b/>
      <w:bCs/>
      <w:color w:val="196D9B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1D58"/>
    <w:rPr>
      <w:rFonts w:ascii="Arial" w:eastAsiaTheme="majorEastAsia" w:hAnsi="Arial" w:cs="Arial"/>
      <w:b/>
      <w:bCs/>
      <w:color w:val="2089C5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742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SGC.RCNLVEEListedeControle-NCRECMPChecklist.PWGSC@tpsgc-pwgsc.gc.ca" TargetMode="External"/><Relationship Id="rId5" Type="http://schemas.openxmlformats.org/officeDocument/2006/relationships/hyperlink" Target="https://iaac-aeic.gc.ca/050/evaluations/prote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2021-05-25T15:13:00Z</dcterms:created>
  <dcterms:modified xsi:type="dcterms:W3CDTF">2021-05-25T15:13:00Z</dcterms:modified>
</cp:coreProperties>
</file>